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5" w:rsidRDefault="008343C5" w:rsidP="008343C5">
      <w:pPr>
        <w:jc w:val="center"/>
      </w:pPr>
    </w:p>
    <w:p w:rsidR="008343C5" w:rsidRDefault="008343C5" w:rsidP="008343C5">
      <w:pPr>
        <w:jc w:val="center"/>
      </w:pPr>
      <w:r>
        <w:t>King’s College Teacher Candidate Observation Rubric</w:t>
      </w:r>
    </w:p>
    <w:p w:rsidR="008343C5" w:rsidRDefault="008343C5" w:rsidP="008343C5">
      <w:pPr>
        <w:jc w:val="center"/>
        <w:rPr>
          <w:b/>
          <w:i/>
          <w:sz w:val="18"/>
          <w:szCs w:val="16"/>
        </w:rPr>
      </w:pPr>
      <w:r>
        <w:rPr>
          <w:b/>
          <w:i/>
          <w:sz w:val="18"/>
          <w:szCs w:val="16"/>
        </w:rPr>
        <w:t>(INTASC Principles listed in parentheses)</w:t>
      </w:r>
    </w:p>
    <w:p w:rsidR="008343C5" w:rsidRPr="007D5AAC" w:rsidRDefault="008343C5" w:rsidP="008343C5">
      <w:pPr>
        <w:jc w:val="center"/>
        <w:rPr>
          <w:sz w:val="32"/>
          <w:szCs w:val="32"/>
        </w:rPr>
      </w:pPr>
      <w:r>
        <w:rPr>
          <w:b/>
          <w:i/>
          <w:sz w:val="28"/>
          <w:szCs w:val="28"/>
        </w:rPr>
        <w:t xml:space="preserve">This is the GENERAL form a </w:t>
      </w:r>
      <w:r w:rsidRPr="008343C5">
        <w:rPr>
          <w:b/>
          <w:i/>
          <w:sz w:val="28"/>
          <w:szCs w:val="28"/>
          <w:u w:val="single"/>
        </w:rPr>
        <w:t>cooperating teacher</w:t>
      </w:r>
      <w:r>
        <w:rPr>
          <w:b/>
          <w:i/>
          <w:sz w:val="28"/>
          <w:szCs w:val="28"/>
        </w:rPr>
        <w:t xml:space="preserve"> may use to observe a pre-student teaching candidate. </w:t>
      </w:r>
    </w:p>
    <w:p w:rsidR="008343C5" w:rsidRDefault="008343C5" w:rsidP="008343C5">
      <w:pPr>
        <w:rPr>
          <w:sz w:val="18"/>
          <w:szCs w:val="16"/>
        </w:rPr>
      </w:pPr>
      <w:r>
        <w:rPr>
          <w:sz w:val="18"/>
          <w:szCs w:val="16"/>
        </w:rPr>
        <w:t>Teacher Candidate’s Name</w:t>
      </w:r>
      <w:proofErr w:type="gramStart"/>
      <w:r>
        <w:rPr>
          <w:sz w:val="18"/>
          <w:szCs w:val="16"/>
        </w:rPr>
        <w:t>:_</w:t>
      </w:r>
      <w:proofErr w:type="gramEnd"/>
      <w:r>
        <w:rPr>
          <w:sz w:val="18"/>
          <w:szCs w:val="16"/>
        </w:rPr>
        <w:t>________________________________  Date:________</w:t>
      </w:r>
    </w:p>
    <w:p w:rsidR="008343C5" w:rsidRDefault="008343C5" w:rsidP="008343C5">
      <w:pPr>
        <w:rPr>
          <w:sz w:val="18"/>
          <w:szCs w:val="16"/>
        </w:rPr>
      </w:pPr>
    </w:p>
    <w:p w:rsidR="008343C5" w:rsidRDefault="008343C5" w:rsidP="008343C5">
      <w:pPr>
        <w:rPr>
          <w:sz w:val="18"/>
          <w:szCs w:val="13"/>
        </w:rPr>
      </w:pPr>
      <w:r>
        <w:rPr>
          <w:sz w:val="18"/>
          <w:szCs w:val="16"/>
        </w:rPr>
        <w:t xml:space="preserve">Name of Observer: ________________________ Observer’s Title: </w:t>
      </w:r>
      <w:r>
        <w:rPr>
          <w:sz w:val="18"/>
          <w:szCs w:val="13"/>
        </w:rPr>
        <w:t>__________________</w:t>
      </w:r>
    </w:p>
    <w:p w:rsidR="008343C5" w:rsidRDefault="008343C5" w:rsidP="008343C5">
      <w:pPr>
        <w:rPr>
          <w:sz w:val="18"/>
          <w:szCs w:val="16"/>
        </w:rPr>
      </w:pPr>
    </w:p>
    <w:p w:rsidR="008343C5" w:rsidRDefault="008343C5" w:rsidP="008343C5">
      <w:pPr>
        <w:rPr>
          <w:sz w:val="16"/>
          <w:szCs w:val="16"/>
        </w:rPr>
      </w:pPr>
      <w:r>
        <w:rPr>
          <w:sz w:val="18"/>
          <w:szCs w:val="16"/>
        </w:rPr>
        <w:t>Rating scale: 1=unsatisfactory, 2=satisfactory, 3=above average, 4=superior, NA=not applicable (circle one)</w:t>
      </w:r>
    </w:p>
    <w:p w:rsidR="008343C5" w:rsidRDefault="008343C5" w:rsidP="008343C5">
      <w:pPr>
        <w:rPr>
          <w:sz w:val="16"/>
          <w:szCs w:val="16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1296"/>
        <w:gridCol w:w="4608"/>
      </w:tblGrid>
      <w:tr w:rsidR="008343C5" w:rsidTr="002823EF">
        <w:tc>
          <w:tcPr>
            <w:tcW w:w="2952" w:type="dxa"/>
            <w:shd w:val="clear" w:color="auto" w:fill="D9D9D9"/>
            <w:vAlign w:val="center"/>
          </w:tcPr>
          <w:p w:rsidR="008343C5" w:rsidRDefault="008343C5" w:rsidP="002823EF">
            <w:pPr>
              <w:pStyle w:val="Subtitle"/>
              <w:rPr>
                <w:sz w:val="20"/>
                <w:szCs w:val="11"/>
              </w:rPr>
            </w:pPr>
            <w:r>
              <w:rPr>
                <w:sz w:val="20"/>
                <w:szCs w:val="19"/>
              </w:rPr>
              <w:t>I. Efficient Use of Instructional Time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8343C5" w:rsidRDefault="008343C5" w:rsidP="002823EF">
            <w:pPr>
              <w:pStyle w:val="Subtitle"/>
              <w:rPr>
                <w:i/>
                <w:iCs/>
                <w:sz w:val="20"/>
                <w:szCs w:val="14"/>
              </w:rPr>
            </w:pPr>
            <w:r>
              <w:rPr>
                <w:i/>
                <w:iCs/>
                <w:sz w:val="20"/>
                <w:szCs w:val="14"/>
              </w:rPr>
              <w:t>Rating</w:t>
            </w:r>
          </w:p>
        </w:tc>
        <w:tc>
          <w:tcPr>
            <w:tcW w:w="4608" w:type="dxa"/>
            <w:shd w:val="clear" w:color="auto" w:fill="D9D9D9"/>
            <w:vAlign w:val="center"/>
          </w:tcPr>
          <w:p w:rsidR="008343C5" w:rsidRDefault="008343C5" w:rsidP="002823EF">
            <w:pPr>
              <w:pStyle w:val="Subtitle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Comments</w:t>
            </w: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bCs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a.</w:t>
            </w:r>
            <w:r>
              <w:rPr>
                <w:b w:val="0"/>
                <w:bCs/>
                <w:i/>
                <w:sz w:val="18"/>
                <w:szCs w:val="12"/>
              </w:rPr>
              <w:t xml:space="preserve"> </w:t>
            </w:r>
            <w:r>
              <w:rPr>
                <w:i/>
                <w:sz w:val="18"/>
                <w:szCs w:val="12"/>
              </w:rPr>
              <w:t xml:space="preserve">Appropriate goals and objectives were </w:t>
            </w:r>
            <w:proofErr w:type="gramStart"/>
            <w:r>
              <w:rPr>
                <w:i/>
                <w:sz w:val="18"/>
                <w:szCs w:val="12"/>
              </w:rPr>
              <w:t>set</w:t>
            </w:r>
            <w:r>
              <w:rPr>
                <w:b w:val="0"/>
                <w:bCs/>
                <w:i/>
                <w:sz w:val="18"/>
                <w:szCs w:val="12"/>
              </w:rPr>
              <w:t xml:space="preserve">  (</w:t>
            </w:r>
            <w:proofErr w:type="gramEnd"/>
            <w:r>
              <w:rPr>
                <w:b w:val="0"/>
                <w:bCs/>
                <w:i/>
                <w:sz w:val="18"/>
                <w:szCs w:val="12"/>
              </w:rPr>
              <w:t>2,7)</w:t>
            </w:r>
          </w:p>
          <w:p w:rsidR="008343C5" w:rsidRDefault="008343C5" w:rsidP="002823EF">
            <w:pPr>
              <w:pStyle w:val="Subtitle"/>
              <w:ind w:left="334"/>
              <w:rPr>
                <w:b w:val="0"/>
                <w:bCs/>
                <w:sz w:val="18"/>
                <w:szCs w:val="14"/>
              </w:rPr>
            </w:pPr>
            <w:r>
              <w:rPr>
                <w:b w:val="0"/>
                <w:bCs/>
                <w:i/>
                <w:sz w:val="18"/>
                <w:szCs w:val="11"/>
              </w:rPr>
              <w:t>The goals and objectives corresponded with the state standards.</w:t>
            </w:r>
          </w:p>
        </w:tc>
        <w:tc>
          <w:tcPr>
            <w:tcW w:w="1296" w:type="dxa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 w:val="restart"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bCs/>
                <w:i/>
                <w:iCs/>
                <w:sz w:val="18"/>
                <w:szCs w:val="14"/>
              </w:rPr>
            </w:pPr>
            <w:r>
              <w:rPr>
                <w:i/>
                <w:sz w:val="18"/>
                <w:szCs w:val="12"/>
              </w:rPr>
              <w:t>b.</w:t>
            </w:r>
            <w:r>
              <w:rPr>
                <w:b w:val="0"/>
                <w:bCs/>
                <w:i/>
                <w:sz w:val="18"/>
                <w:szCs w:val="12"/>
              </w:rPr>
              <w:t xml:space="preserve"> </w:t>
            </w:r>
            <w:r>
              <w:rPr>
                <w:i/>
                <w:sz w:val="18"/>
                <w:szCs w:val="12"/>
              </w:rPr>
              <w:t xml:space="preserve">Lesson was well </w:t>
            </w:r>
            <w:proofErr w:type="gramStart"/>
            <w:r>
              <w:rPr>
                <w:i/>
                <w:sz w:val="18"/>
                <w:szCs w:val="12"/>
              </w:rPr>
              <w:t>paced</w:t>
            </w:r>
            <w:r>
              <w:rPr>
                <w:b w:val="0"/>
                <w:bCs/>
                <w:i/>
                <w:sz w:val="18"/>
                <w:szCs w:val="12"/>
              </w:rPr>
              <w:t xml:space="preserve">  (</w:t>
            </w:r>
            <w:proofErr w:type="gramEnd"/>
            <w:r>
              <w:rPr>
                <w:b w:val="0"/>
                <w:bCs/>
                <w:i/>
                <w:sz w:val="18"/>
                <w:szCs w:val="12"/>
              </w:rPr>
              <w:t>2)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i/>
                <w:iCs/>
                <w:sz w:val="18"/>
                <w:szCs w:val="12"/>
              </w:rPr>
              <w:t>c.</w:t>
            </w:r>
            <w:r>
              <w:rPr>
                <w:b w:val="0"/>
                <w:bCs/>
                <w:i/>
                <w:iCs/>
                <w:sz w:val="18"/>
                <w:szCs w:val="12"/>
              </w:rPr>
              <w:t xml:space="preserve"> </w:t>
            </w:r>
            <w:r>
              <w:rPr>
                <w:i/>
                <w:iCs/>
                <w:sz w:val="18"/>
                <w:szCs w:val="12"/>
              </w:rPr>
              <w:t xml:space="preserve">Entire class monitored and/or more than one activity/group was attended to at a </w:t>
            </w:r>
            <w:proofErr w:type="gramStart"/>
            <w:r>
              <w:rPr>
                <w:i/>
                <w:iCs/>
                <w:sz w:val="18"/>
                <w:szCs w:val="12"/>
              </w:rPr>
              <w:t>time</w:t>
            </w:r>
            <w:r>
              <w:rPr>
                <w:b w:val="0"/>
                <w:bCs/>
                <w:i/>
                <w:iCs/>
                <w:sz w:val="18"/>
                <w:szCs w:val="12"/>
              </w:rPr>
              <w:t xml:space="preserve">  (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2"/>
              </w:rPr>
              <w:t>2,5).  Classroom management techniques (e.g., proximity) used effectively.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  <w:shd w:val="clear" w:color="auto" w:fill="D9D9D9"/>
          </w:tcPr>
          <w:p w:rsidR="008343C5" w:rsidRDefault="008343C5" w:rsidP="002823EF">
            <w:pPr>
              <w:pStyle w:val="Subtitle"/>
              <w:rPr>
                <w:bCs/>
                <w:sz w:val="18"/>
                <w:szCs w:val="14"/>
              </w:rPr>
            </w:pPr>
            <w:r>
              <w:rPr>
                <w:bCs/>
                <w:i/>
                <w:sz w:val="18"/>
                <w:szCs w:val="14"/>
              </w:rPr>
              <w:t>II</w:t>
            </w:r>
            <w:proofErr w:type="gramStart"/>
            <w:r>
              <w:rPr>
                <w:bCs/>
                <w:i/>
                <w:sz w:val="18"/>
                <w:szCs w:val="14"/>
              </w:rPr>
              <w:t>.  Instruction</w:t>
            </w:r>
            <w:proofErr w:type="gramEnd"/>
          </w:p>
        </w:tc>
        <w:tc>
          <w:tcPr>
            <w:tcW w:w="1296" w:type="dxa"/>
            <w:shd w:val="clear" w:color="auto" w:fill="D9D9D9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</w:p>
        </w:tc>
        <w:tc>
          <w:tcPr>
            <w:tcW w:w="4608" w:type="dxa"/>
            <w:vMerge/>
            <w:shd w:val="clear" w:color="auto" w:fill="D9D9D9"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 xml:space="preserve">d. Attention </w:t>
            </w:r>
            <w:proofErr w:type="gramStart"/>
            <w:r>
              <w:rPr>
                <w:i/>
                <w:sz w:val="18"/>
                <w:szCs w:val="12"/>
              </w:rPr>
              <w:t>gained</w:t>
            </w:r>
            <w:r>
              <w:rPr>
                <w:b w:val="0"/>
                <w:i/>
                <w:sz w:val="18"/>
                <w:szCs w:val="12"/>
              </w:rPr>
              <w:t xml:space="preserve">  (</w:t>
            </w:r>
            <w:proofErr w:type="gramEnd"/>
            <w:r>
              <w:rPr>
                <w:b w:val="0"/>
                <w:i/>
                <w:sz w:val="18"/>
                <w:szCs w:val="12"/>
              </w:rPr>
              <w:t>1,2,4)</w:t>
            </w:r>
          </w:p>
          <w:p w:rsidR="008343C5" w:rsidRDefault="008343C5" w:rsidP="002823EF">
            <w:pPr>
              <w:pStyle w:val="Subtitle"/>
              <w:ind w:left="334"/>
              <w:rPr>
                <w:i/>
                <w:sz w:val="18"/>
                <w:szCs w:val="12"/>
              </w:rPr>
            </w:pPr>
            <w:r>
              <w:rPr>
                <w:b w:val="0"/>
                <w:i/>
                <w:sz w:val="18"/>
                <w:szCs w:val="12"/>
              </w:rPr>
              <w:t>▪A</w:t>
            </w:r>
            <w:r>
              <w:rPr>
                <w:i/>
                <w:sz w:val="18"/>
                <w:szCs w:val="12"/>
              </w:rPr>
              <w:t xml:space="preserve"> </w:t>
            </w:r>
            <w:r>
              <w:rPr>
                <w:b w:val="0"/>
                <w:i/>
                <w:sz w:val="18"/>
                <w:szCs w:val="12"/>
              </w:rPr>
              <w:t>strategy was used to gain the students’ attention at the beginning of the lesson as well as other relevant times during the lesson to maintain/regain attention.</w:t>
            </w:r>
          </w:p>
          <w:p w:rsidR="008343C5" w:rsidRDefault="008343C5" w:rsidP="002823EF">
            <w:pPr>
              <w:pStyle w:val="Subtitle"/>
              <w:ind w:left="334"/>
              <w:rPr>
                <w:i/>
                <w:sz w:val="18"/>
                <w:szCs w:val="12"/>
              </w:rPr>
            </w:pPr>
            <w:r>
              <w:rPr>
                <w:b w:val="0"/>
                <w:i/>
                <w:sz w:val="18"/>
                <w:szCs w:val="12"/>
              </w:rPr>
              <w:t>▪Strategies related directly to the learning in the lesson.</w:t>
            </w:r>
          </w:p>
          <w:p w:rsidR="008343C5" w:rsidRDefault="008343C5" w:rsidP="002823EF">
            <w:pPr>
              <w:pStyle w:val="Subtitle"/>
              <w:ind w:left="334"/>
              <w:rPr>
                <w:sz w:val="18"/>
                <w:szCs w:val="14"/>
              </w:rPr>
            </w:pPr>
            <w:r>
              <w:rPr>
                <w:b w:val="0"/>
                <w:i/>
                <w:sz w:val="18"/>
                <w:szCs w:val="12"/>
              </w:rPr>
              <w:t xml:space="preserve">▪Visuals, ambiguity, curiosity, noise, or other ways were effectively used 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i/>
                <w:iCs/>
                <w:sz w:val="18"/>
                <w:szCs w:val="12"/>
              </w:rPr>
              <w:t xml:space="preserve">e. Previous knowledge </w:t>
            </w:r>
            <w:proofErr w:type="gramStart"/>
            <w:r>
              <w:rPr>
                <w:i/>
                <w:iCs/>
                <w:sz w:val="18"/>
                <w:szCs w:val="12"/>
              </w:rPr>
              <w:t>recalled</w:t>
            </w:r>
            <w:r>
              <w:rPr>
                <w:b w:val="0"/>
                <w:i/>
                <w:iCs/>
                <w:sz w:val="18"/>
                <w:szCs w:val="12"/>
              </w:rPr>
              <w:t xml:space="preserve">  (</w:t>
            </w:r>
            <w:proofErr w:type="gramEnd"/>
            <w:r>
              <w:rPr>
                <w:b w:val="0"/>
                <w:i/>
                <w:iCs/>
                <w:sz w:val="18"/>
                <w:szCs w:val="12"/>
              </w:rPr>
              <w:t>2,4).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 xml:space="preserve">f. Purpose/Objective of the lesson made </w:t>
            </w:r>
            <w:proofErr w:type="gramStart"/>
            <w:r>
              <w:rPr>
                <w:i/>
                <w:sz w:val="18"/>
                <w:szCs w:val="12"/>
              </w:rPr>
              <w:t>clear</w:t>
            </w:r>
            <w:r>
              <w:rPr>
                <w:b w:val="0"/>
                <w:i/>
                <w:sz w:val="18"/>
                <w:szCs w:val="12"/>
              </w:rPr>
              <w:t xml:space="preserve">  (</w:t>
            </w:r>
            <w:proofErr w:type="gramEnd"/>
            <w:r>
              <w:rPr>
                <w:b w:val="0"/>
                <w:i/>
                <w:sz w:val="18"/>
                <w:szCs w:val="12"/>
              </w:rPr>
              <w:t>1,4)</w:t>
            </w:r>
          </w:p>
          <w:p w:rsidR="008343C5" w:rsidRDefault="008343C5" w:rsidP="002823EF">
            <w:pPr>
              <w:pStyle w:val="Subtitle"/>
              <w:ind w:left="334"/>
              <w:rPr>
                <w:sz w:val="18"/>
                <w:szCs w:val="14"/>
              </w:rPr>
            </w:pPr>
            <w:r>
              <w:rPr>
                <w:b w:val="0"/>
                <w:i/>
                <w:sz w:val="18"/>
                <w:szCs w:val="12"/>
              </w:rPr>
              <w:t xml:space="preserve">It was clear what students 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were</w:t>
            </w:r>
            <w:proofErr w:type="gramEnd"/>
            <w:r>
              <w:rPr>
                <w:b w:val="0"/>
                <w:i/>
                <w:sz w:val="18"/>
                <w:szCs w:val="12"/>
              </w:rPr>
              <w:t xml:space="preserve"> to be learning and why they were learning it.  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i/>
                <w:iCs/>
                <w:sz w:val="18"/>
                <w:szCs w:val="12"/>
              </w:rPr>
            </w:pPr>
            <w:r>
              <w:rPr>
                <w:i/>
                <w:iCs/>
                <w:sz w:val="18"/>
                <w:szCs w:val="12"/>
              </w:rPr>
              <w:t xml:space="preserve">g. Teacher Input Provided </w:t>
            </w:r>
          </w:p>
          <w:p w:rsidR="008343C5" w:rsidRDefault="008343C5" w:rsidP="002823EF">
            <w:pPr>
              <w:pStyle w:val="Subtitle"/>
              <w:ind w:left="334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2"/>
              </w:rPr>
              <w:t xml:space="preserve">Skills or concepts of the lesson were introduced and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2"/>
              </w:rPr>
              <w:t>explained  (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2"/>
              </w:rPr>
              <w:t>2,4) by using clear examples and language (2,4,6) and the sequence and organization of instruction was appropriate  (2,4)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 xml:space="preserve">h. Teacher guided practice was adequate and </w:t>
            </w:r>
            <w:proofErr w:type="gramStart"/>
            <w:r>
              <w:rPr>
                <w:i/>
                <w:sz w:val="18"/>
                <w:szCs w:val="12"/>
              </w:rPr>
              <w:t>appropriate</w:t>
            </w:r>
            <w:r>
              <w:rPr>
                <w:b w:val="0"/>
                <w:i/>
                <w:sz w:val="18"/>
                <w:szCs w:val="12"/>
              </w:rPr>
              <w:t xml:space="preserve">  (</w:t>
            </w:r>
            <w:proofErr w:type="gramEnd"/>
            <w:r>
              <w:rPr>
                <w:b w:val="0"/>
                <w:i/>
                <w:sz w:val="18"/>
                <w:szCs w:val="12"/>
              </w:rPr>
              <w:t>2,4)</w:t>
            </w:r>
          </w:p>
          <w:p w:rsidR="008343C5" w:rsidRDefault="008343C5" w:rsidP="002823EF">
            <w:pPr>
              <w:pStyle w:val="Subtitle"/>
              <w:ind w:left="334"/>
              <w:rPr>
                <w:sz w:val="18"/>
                <w:szCs w:val="14"/>
              </w:rPr>
            </w:pPr>
            <w:r>
              <w:rPr>
                <w:b w:val="0"/>
                <w:i/>
                <w:sz w:val="18"/>
                <w:szCs w:val="12"/>
              </w:rPr>
              <w:t>The teacher and students worked through examples together as needed before expecting students to do similar problems on their own.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proofErr w:type="spellStart"/>
            <w:r>
              <w:rPr>
                <w:i/>
                <w:sz w:val="18"/>
                <w:szCs w:val="12"/>
              </w:rPr>
              <w:lastRenderedPageBreak/>
              <w:t>i</w:t>
            </w:r>
            <w:proofErr w:type="spellEnd"/>
            <w:r>
              <w:rPr>
                <w:i/>
                <w:sz w:val="18"/>
                <w:szCs w:val="12"/>
              </w:rPr>
              <w:t xml:space="preserve">. Repetition of key concepts occurred throughout the </w:t>
            </w:r>
            <w:proofErr w:type="gramStart"/>
            <w:r>
              <w:rPr>
                <w:i/>
                <w:sz w:val="18"/>
                <w:szCs w:val="12"/>
              </w:rPr>
              <w:t>lesson</w:t>
            </w:r>
            <w:r>
              <w:rPr>
                <w:b w:val="0"/>
                <w:i/>
                <w:sz w:val="18"/>
                <w:szCs w:val="12"/>
              </w:rPr>
              <w:t xml:space="preserve">  (</w:t>
            </w:r>
            <w:proofErr w:type="gramEnd"/>
            <w:r>
              <w:rPr>
                <w:b w:val="0"/>
                <w:i/>
                <w:sz w:val="18"/>
                <w:szCs w:val="12"/>
              </w:rPr>
              <w:t>2,4)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</w:tbl>
    <w:p w:rsidR="008343C5" w:rsidRDefault="008343C5" w:rsidP="008343C5">
      <w:pPr>
        <w:jc w:val="center"/>
        <w:rPr>
          <w:sz w:val="18"/>
          <w:szCs w:val="16"/>
        </w:rPr>
      </w:pPr>
      <w:r>
        <w:rPr>
          <w:b/>
          <w:i/>
          <w:sz w:val="18"/>
          <w:szCs w:val="16"/>
        </w:rPr>
        <w:t>(See reverse side)</w:t>
      </w:r>
      <w:r>
        <w:rPr>
          <w:b/>
          <w:i/>
          <w:sz w:val="18"/>
          <w:szCs w:val="16"/>
        </w:rP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296"/>
        <w:gridCol w:w="4608"/>
      </w:tblGrid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i/>
                <w:sz w:val="18"/>
                <w:szCs w:val="12"/>
              </w:rPr>
              <w:lastRenderedPageBreak/>
              <w:t>j. A variety of instructional materials were used to actively engage the students.</w:t>
            </w:r>
            <w:r>
              <w:rPr>
                <w:b w:val="0"/>
                <w:i/>
                <w:sz w:val="18"/>
                <w:szCs w:val="12"/>
              </w:rPr>
              <w:t xml:space="preserve">  (2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,3,4,6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 w:val="restart"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i/>
                <w:sz w:val="18"/>
                <w:szCs w:val="12"/>
              </w:rPr>
              <w:t>k. All of the students were actively engaged in the learning throughout the lesson.</w:t>
            </w:r>
            <w:r>
              <w:rPr>
                <w:b w:val="0"/>
                <w:i/>
                <w:sz w:val="18"/>
                <w:szCs w:val="12"/>
              </w:rPr>
              <w:t xml:space="preserve">  (2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,4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l. Students were encouraged to understand, question, and interpret ideas from diverse perspectives.</w:t>
            </w:r>
            <w:r>
              <w:rPr>
                <w:b w:val="0"/>
                <w:i/>
                <w:sz w:val="18"/>
                <w:szCs w:val="12"/>
              </w:rPr>
              <w:t xml:space="preserve">  (4)</w:t>
            </w:r>
          </w:p>
          <w:p w:rsidR="008343C5" w:rsidRDefault="008343C5" w:rsidP="002823EF">
            <w:pPr>
              <w:pStyle w:val="Subtitle"/>
              <w:ind w:left="334"/>
              <w:rPr>
                <w:sz w:val="18"/>
                <w:szCs w:val="14"/>
              </w:rPr>
            </w:pPr>
            <w:r>
              <w:rPr>
                <w:b w:val="0"/>
                <w:i/>
                <w:sz w:val="18"/>
                <w:szCs w:val="12"/>
              </w:rPr>
              <w:t>Open-ended questions were used, diverse perspectives were explored.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m. Higher order thinking skills were used.</w:t>
            </w:r>
            <w:r>
              <w:rPr>
                <w:b w:val="0"/>
                <w:i/>
                <w:sz w:val="18"/>
                <w:szCs w:val="12"/>
              </w:rPr>
              <w:t xml:space="preserve">  (4)</w:t>
            </w:r>
          </w:p>
          <w:p w:rsidR="008343C5" w:rsidRDefault="008343C5" w:rsidP="002823EF">
            <w:pPr>
              <w:pStyle w:val="Subtitle"/>
              <w:ind w:left="334"/>
              <w:rPr>
                <w:sz w:val="18"/>
                <w:szCs w:val="14"/>
              </w:rPr>
            </w:pPr>
            <w:r>
              <w:rPr>
                <w:b w:val="0"/>
                <w:i/>
                <w:sz w:val="18"/>
                <w:szCs w:val="12"/>
              </w:rPr>
              <w:t xml:space="preserve">Higher levels of Bloom’s Taxonomy 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i/>
                <w:sz w:val="18"/>
                <w:szCs w:val="12"/>
              </w:rPr>
              <w:t>n. Evaluation of student comprehension occurred throughout the lesson and appropriate feedback provided.</w:t>
            </w:r>
            <w:r>
              <w:rPr>
                <w:b w:val="0"/>
                <w:i/>
                <w:sz w:val="18"/>
                <w:szCs w:val="12"/>
              </w:rPr>
              <w:t xml:space="preserve">  (8)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</w:p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</w:p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o. The lesson ended with closure/review that focused on the main objectives of the lesson.</w:t>
            </w:r>
            <w:r>
              <w:rPr>
                <w:b w:val="0"/>
                <w:i/>
                <w:sz w:val="18"/>
                <w:szCs w:val="12"/>
              </w:rPr>
              <w:t xml:space="preserve">  (3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,4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  <w:p w:rsidR="008343C5" w:rsidRDefault="008343C5" w:rsidP="002823EF">
            <w:pPr>
              <w:pStyle w:val="Subtitle"/>
              <w:ind w:left="334"/>
              <w:rPr>
                <w:sz w:val="18"/>
                <w:szCs w:val="14"/>
              </w:rPr>
            </w:pPr>
            <w:r>
              <w:rPr>
                <w:b w:val="0"/>
                <w:i/>
                <w:sz w:val="18"/>
                <w:szCs w:val="12"/>
              </w:rPr>
              <w:t xml:space="preserve">The </w:t>
            </w:r>
            <w:r>
              <w:rPr>
                <w:b w:val="0"/>
                <w:bCs/>
                <w:i/>
                <w:sz w:val="18"/>
                <w:szCs w:val="12"/>
              </w:rPr>
              <w:t>students were able to summarize</w:t>
            </w:r>
            <w:r>
              <w:rPr>
                <w:b w:val="0"/>
                <w:i/>
                <w:sz w:val="18"/>
                <w:szCs w:val="12"/>
              </w:rPr>
              <w:t xml:space="preserve"> the learning rather than the student teacher having to do this for them.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Sub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 xml:space="preserve">p. Variety of teaching methods/instructional strategies </w:t>
            </w:r>
            <w:proofErr w:type="gramStart"/>
            <w:r>
              <w:rPr>
                <w:i/>
                <w:sz w:val="18"/>
                <w:szCs w:val="12"/>
              </w:rPr>
              <w:t>were</w:t>
            </w:r>
            <w:proofErr w:type="gramEnd"/>
            <w:r>
              <w:rPr>
                <w:i/>
                <w:sz w:val="18"/>
                <w:szCs w:val="12"/>
              </w:rPr>
              <w:t xml:space="preserve"> used to reach different types of learners.</w:t>
            </w:r>
            <w:r>
              <w:rPr>
                <w:b w:val="0"/>
                <w:i/>
                <w:sz w:val="18"/>
                <w:szCs w:val="12"/>
              </w:rPr>
              <w:t xml:space="preserve"> (2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,4,8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  <w:p w:rsidR="008343C5" w:rsidRDefault="008343C5" w:rsidP="002823EF">
            <w:pPr>
              <w:pStyle w:val="Subtitle"/>
              <w:ind w:left="244"/>
              <w:rPr>
                <w:sz w:val="18"/>
                <w:szCs w:val="14"/>
              </w:rPr>
            </w:pPr>
            <w:r>
              <w:rPr>
                <w:b w:val="0"/>
                <w:i/>
                <w:sz w:val="18"/>
                <w:szCs w:val="12"/>
              </w:rPr>
              <w:t>e.g., direct instruction, discovery learning, cooperative learning, role playing, discussions, technology simulations, “hands-on/minds-on” materials, paired students, etc.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sz w:val="18"/>
                <w:szCs w:val="14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BodyTextIndent2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q. Relevant subject areas &amp; “real world” problems were integrated into the lesson.</w:t>
            </w:r>
            <w:r>
              <w:rPr>
                <w:b w:val="0"/>
                <w:i/>
                <w:sz w:val="18"/>
                <w:szCs w:val="12"/>
              </w:rPr>
              <w:t xml:space="preserve">  (1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,2,3,7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r. Inclusion of special needs student occurred.</w:t>
            </w:r>
            <w:r>
              <w:rPr>
                <w:b w:val="0"/>
                <w:i/>
                <w:sz w:val="18"/>
                <w:szCs w:val="12"/>
              </w:rPr>
              <w:t xml:space="preserve">  (2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,3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 xml:space="preserve">s. Individual differences were addressed.  </w:t>
            </w:r>
            <w:r>
              <w:rPr>
                <w:b w:val="0"/>
                <w:i/>
                <w:sz w:val="18"/>
                <w:szCs w:val="12"/>
              </w:rPr>
              <w:t>(2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,3,5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t. Classroom instruction and assignments provided for Limited English Proficiency (LEP) students.</w:t>
            </w:r>
            <w:r>
              <w:rPr>
                <w:b w:val="0"/>
                <w:i/>
                <w:sz w:val="18"/>
                <w:szCs w:val="12"/>
              </w:rPr>
              <w:t xml:space="preserve"> (2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,3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 xml:space="preserve">u. Diversity issues were addressed in an appropriate manner.  </w:t>
            </w:r>
            <w:r>
              <w:rPr>
                <w:b w:val="0"/>
                <w:i/>
                <w:sz w:val="18"/>
                <w:szCs w:val="12"/>
              </w:rPr>
              <w:t>(2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,3,6,10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4248" w:type="dxa"/>
            <w:gridSpan w:val="2"/>
            <w:shd w:val="clear" w:color="auto" w:fill="D9D9D9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4"/>
              </w:rPr>
              <w:t>III. Personal and Professional Characteristics</w:t>
            </w:r>
          </w:p>
        </w:tc>
        <w:tc>
          <w:tcPr>
            <w:tcW w:w="4608" w:type="dxa"/>
            <w:vMerge/>
            <w:shd w:val="clear" w:color="auto" w:fill="D9D9D9"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v. Displayed Enthusiasm.</w:t>
            </w:r>
            <w:r>
              <w:rPr>
                <w:b w:val="0"/>
                <w:i/>
                <w:sz w:val="18"/>
                <w:szCs w:val="12"/>
              </w:rPr>
              <w:t xml:space="preserve">  (1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,6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w. Exhibited Confidence.</w:t>
            </w:r>
            <w:r>
              <w:rPr>
                <w:b w:val="0"/>
                <w:i/>
                <w:sz w:val="18"/>
                <w:szCs w:val="12"/>
              </w:rPr>
              <w:t xml:space="preserve">  (1)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x. Displayed empathy.</w:t>
            </w:r>
            <w:r>
              <w:rPr>
                <w:b w:val="0"/>
                <w:i/>
                <w:sz w:val="18"/>
                <w:szCs w:val="12"/>
              </w:rPr>
              <w:t xml:space="preserve">  (5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,9,10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Title"/>
              <w:jc w:val="both"/>
              <w:rPr>
                <w:sz w:val="18"/>
                <w:szCs w:val="14"/>
              </w:rPr>
            </w:pPr>
          </w:p>
        </w:tc>
      </w:tr>
      <w:tr w:rsidR="008343C5" w:rsidTr="002823EF">
        <w:trPr>
          <w:cantSplit/>
        </w:trPr>
        <w:tc>
          <w:tcPr>
            <w:tcW w:w="2952" w:type="dxa"/>
          </w:tcPr>
          <w:p w:rsidR="008343C5" w:rsidRDefault="008343C5" w:rsidP="002823EF">
            <w:pPr>
              <w:pStyle w:val="Subtitle"/>
              <w:rPr>
                <w:b w:val="0"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>y. Acted and appeared in a professional manner.</w:t>
            </w:r>
            <w:r>
              <w:rPr>
                <w:b w:val="0"/>
                <w:i/>
                <w:sz w:val="18"/>
                <w:szCs w:val="12"/>
              </w:rPr>
              <w:t xml:space="preserve">  (9</w:t>
            </w:r>
            <w:proofErr w:type="gramStart"/>
            <w:r>
              <w:rPr>
                <w:b w:val="0"/>
                <w:i/>
                <w:sz w:val="18"/>
                <w:szCs w:val="12"/>
              </w:rPr>
              <w:t>,10</w:t>
            </w:r>
            <w:proofErr w:type="gramEnd"/>
            <w:r>
              <w:rPr>
                <w:b w:val="0"/>
                <w:i/>
                <w:sz w:val="18"/>
                <w:szCs w:val="12"/>
              </w:rPr>
              <w:t>)</w:t>
            </w:r>
          </w:p>
        </w:tc>
        <w:tc>
          <w:tcPr>
            <w:tcW w:w="1296" w:type="dxa"/>
            <w:vAlign w:val="center"/>
          </w:tcPr>
          <w:p w:rsidR="008343C5" w:rsidRDefault="008343C5" w:rsidP="002823EF">
            <w:pPr>
              <w:pStyle w:val="Title"/>
              <w:rPr>
                <w:b w:val="0"/>
                <w:i/>
                <w:sz w:val="18"/>
                <w:szCs w:val="12"/>
              </w:rPr>
            </w:pPr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1 2 3 </w:t>
            </w:r>
            <w:proofErr w:type="gramStart"/>
            <w:r>
              <w:rPr>
                <w:b w:val="0"/>
                <w:bCs/>
                <w:i/>
                <w:iCs/>
                <w:sz w:val="18"/>
                <w:szCs w:val="14"/>
              </w:rPr>
              <w:t>4  or</w:t>
            </w:r>
            <w:proofErr w:type="gramEnd"/>
            <w:r>
              <w:rPr>
                <w:b w:val="0"/>
                <w:bCs/>
                <w:i/>
                <w:iCs/>
                <w:sz w:val="18"/>
                <w:szCs w:val="14"/>
              </w:rPr>
              <w:t xml:space="preserve"> NA</w:t>
            </w:r>
          </w:p>
        </w:tc>
        <w:tc>
          <w:tcPr>
            <w:tcW w:w="4608" w:type="dxa"/>
            <w:vMerge/>
          </w:tcPr>
          <w:p w:rsidR="008343C5" w:rsidRDefault="008343C5" w:rsidP="002823EF">
            <w:pPr>
              <w:pStyle w:val="BodyTextIndent2"/>
              <w:jc w:val="both"/>
              <w:rPr>
                <w:sz w:val="18"/>
                <w:szCs w:val="14"/>
              </w:rPr>
            </w:pPr>
          </w:p>
        </w:tc>
      </w:tr>
    </w:tbl>
    <w:p w:rsidR="008343C5" w:rsidRPr="007F2CBB" w:rsidRDefault="008343C5" w:rsidP="008343C5">
      <w:pPr>
        <w:rPr>
          <w:b/>
          <w:bCs/>
          <w:i/>
          <w:iCs/>
          <w:sz w:val="14"/>
        </w:rPr>
      </w:pPr>
      <w:r>
        <w:rPr>
          <w:b/>
          <w:bCs/>
          <w:i/>
          <w:iCs/>
          <w:sz w:val="14"/>
        </w:rPr>
        <w:t>(Adopted from Purdue University’s guide to their teaching observation form)</w:t>
      </w:r>
    </w:p>
    <w:p w:rsidR="008343C5" w:rsidRPr="0059183D" w:rsidRDefault="008343C5" w:rsidP="008343C5">
      <w:pPr>
        <w:tabs>
          <w:tab w:val="left" w:pos="360"/>
        </w:tabs>
      </w:pPr>
      <w:r>
        <w:t>This form is also found online at:</w:t>
      </w:r>
      <w:r w:rsidRPr="007F2CBB">
        <w:t xml:space="preserve"> </w:t>
      </w:r>
      <w:hyperlink r:id="rId5" w:history="1">
        <w:r>
          <w:rPr>
            <w:rStyle w:val="Hyperlink"/>
          </w:rPr>
          <w:t>www.kings.edu/education/index.htm</w:t>
        </w:r>
      </w:hyperlink>
    </w:p>
    <w:p w:rsidR="008343C5" w:rsidRDefault="008343C5" w:rsidP="008343C5">
      <w:pPr>
        <w:tabs>
          <w:tab w:val="left" w:pos="360"/>
        </w:tabs>
      </w:pPr>
    </w:p>
    <w:p w:rsidR="008343C5" w:rsidRDefault="008343C5" w:rsidP="008343C5">
      <w:pPr>
        <w:tabs>
          <w:tab w:val="left" w:pos="360"/>
        </w:tabs>
      </w:pPr>
    </w:p>
    <w:p w:rsidR="008343C5" w:rsidRDefault="008343C5" w:rsidP="008343C5">
      <w:pPr>
        <w:tabs>
          <w:tab w:val="left" w:pos="360"/>
        </w:tabs>
      </w:pPr>
      <w:bookmarkStart w:id="0" w:name="_GoBack"/>
      <w:bookmarkEnd w:id="0"/>
    </w:p>
    <w:sectPr w:rsidR="0083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5"/>
    <w:rsid w:val="008343C5"/>
    <w:rsid w:val="00E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C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43C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343C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3C5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343C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8343C5"/>
    <w:pPr>
      <w:tabs>
        <w:tab w:val="left" w:pos="360"/>
      </w:tabs>
      <w:ind w:left="36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343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C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43C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343C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3C5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343C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8343C5"/>
    <w:pPr>
      <w:tabs>
        <w:tab w:val="left" w:pos="360"/>
      </w:tabs>
      <w:ind w:left="36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343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s.edu/educatio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2012-07-27T17:24:00Z</dcterms:created>
  <dcterms:modified xsi:type="dcterms:W3CDTF">2012-07-27T17:25:00Z</dcterms:modified>
</cp:coreProperties>
</file>